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Pr="00817D9A" w:rsidRDefault="00A63C3A" w:rsidP="00817D9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Athlete</w:t>
      </w:r>
      <w:r w:rsidR="00E979F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 Foot</w:t>
      </w:r>
    </w:p>
    <w:p w:rsidR="00817D9A" w:rsidRDefault="00A63C3A" w:rsidP="00817D9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817D9A" w:rsidRDefault="00A63C3A" w:rsidP="00817D9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817D9A" w:rsidRDefault="00A63C3A" w:rsidP="00817D9A">
      <w:pPr>
        <w:jc w:val="center"/>
      </w:pPr>
      <w:r>
        <w:rPr>
          <w:rFonts w:ascii="Times New Roman" w:hAnsi="Times New Roman" w:cs="Times New Roman"/>
          <w:color w:val="000000" w:themeColor="text1"/>
          <w:sz w:val="24"/>
          <w:szCs w:val="24"/>
        </w:rPr>
        <w:t>Date</w:t>
      </w:r>
    </w:p>
    <w:p w:rsidR="00817D9A" w:rsidRDefault="00817D9A" w:rsidP="00817D9A">
      <w:pPr>
        <w:jc w:val="center"/>
      </w:pPr>
    </w:p>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817D9A" w:rsidRDefault="00817D9A" w:rsidP="00E77810"/>
    <w:p w:rsidR="00E77810" w:rsidRPr="00817D9A" w:rsidRDefault="00A63C3A" w:rsidP="00817D9A">
      <w:pPr>
        <w:spacing w:after="0" w:line="480" w:lineRule="auto"/>
        <w:ind w:firstLine="851"/>
        <w:jc w:val="center"/>
        <w:rPr>
          <w:rFonts w:ascii="Times New Roman" w:hAnsi="Times New Roman" w:cs="Times New Roman"/>
          <w:color w:val="000000" w:themeColor="text1"/>
          <w:sz w:val="24"/>
          <w:szCs w:val="24"/>
        </w:rPr>
      </w:pPr>
      <w:r w:rsidRPr="00817D9A">
        <w:rPr>
          <w:rFonts w:ascii="Times New Roman" w:hAnsi="Times New Roman" w:cs="Times New Roman"/>
          <w:color w:val="000000" w:themeColor="text1"/>
          <w:sz w:val="24"/>
          <w:szCs w:val="24"/>
        </w:rPr>
        <w:lastRenderedPageBreak/>
        <w:t>Abstract</w:t>
      </w:r>
    </w:p>
    <w:p w:rsidR="00E77810" w:rsidRPr="00817D9A" w:rsidRDefault="00A63C3A" w:rsidP="00817D9A">
      <w:pPr>
        <w:spacing w:after="0" w:line="480" w:lineRule="auto"/>
        <w:ind w:firstLine="851"/>
        <w:rPr>
          <w:rFonts w:ascii="Times New Roman" w:hAnsi="Times New Roman" w:cs="Times New Roman"/>
          <w:color w:val="000000" w:themeColor="text1"/>
          <w:sz w:val="24"/>
          <w:szCs w:val="24"/>
        </w:rPr>
      </w:pPr>
      <w:r w:rsidRPr="00817D9A">
        <w:rPr>
          <w:rFonts w:ascii="Times New Roman" w:hAnsi="Times New Roman" w:cs="Times New Roman"/>
          <w:i/>
          <w:iCs/>
          <w:color w:val="000000" w:themeColor="text1"/>
          <w:sz w:val="24"/>
          <w:szCs w:val="24"/>
        </w:rPr>
        <w:t xml:space="preserve">T. Rubrum </w:t>
      </w:r>
      <w:r w:rsidRPr="00817D9A">
        <w:rPr>
          <w:rFonts w:ascii="Times New Roman" w:hAnsi="Times New Roman" w:cs="Times New Roman"/>
          <w:color w:val="000000" w:themeColor="text1"/>
          <w:sz w:val="24"/>
          <w:szCs w:val="24"/>
        </w:rPr>
        <w:t>is a fungus that is in the class of dermatophytes and phylum Ascomycota. The organism is characterized by a cottony surface with white to yellow color on the surface. The lifecycle of the fungus influences its process of infections from different hosts. The agent is responsible for causing athlete</w:t>
      </w:r>
      <w:r w:rsidR="00D04B75">
        <w:rPr>
          <w:rFonts w:ascii="Times New Roman" w:hAnsi="Times New Roman" w:cs="Times New Roman"/>
          <w:color w:val="000000" w:themeColor="text1"/>
          <w:sz w:val="24"/>
          <w:szCs w:val="24"/>
        </w:rPr>
        <w:t>’</w:t>
      </w:r>
      <w:r w:rsidRPr="00817D9A">
        <w:rPr>
          <w:rFonts w:ascii="Times New Roman" w:hAnsi="Times New Roman" w:cs="Times New Roman"/>
          <w:color w:val="000000" w:themeColor="text1"/>
          <w:sz w:val="24"/>
          <w:szCs w:val="24"/>
        </w:rPr>
        <w:t>s foot, which is a disease characterized by itchy skin on the toes and scaling. The port of entry for the agent is the nail beds of the feet. It takes 30 days for the complet</w:t>
      </w:r>
      <w:r w:rsidR="006D51AA">
        <w:rPr>
          <w:rFonts w:ascii="Times New Roman" w:hAnsi="Times New Roman" w:cs="Times New Roman"/>
          <w:color w:val="000000" w:themeColor="text1"/>
          <w:sz w:val="24"/>
          <w:szCs w:val="24"/>
        </w:rPr>
        <w:t>ion</w:t>
      </w:r>
      <w:r w:rsidRPr="00817D9A">
        <w:rPr>
          <w:rFonts w:ascii="Times New Roman" w:hAnsi="Times New Roman" w:cs="Times New Roman"/>
          <w:color w:val="000000" w:themeColor="text1"/>
          <w:sz w:val="24"/>
          <w:szCs w:val="24"/>
        </w:rPr>
        <w:t xml:space="preserve"> of the infection, which leads to the manifestation of symptoms such as itching, blisters, and ulcers. The disease is diagnosed by the use of physical examination, history taking, and KOH. Treatment involves the use of antifungals, antibiotics, and steroids. Over the counter drugs are also recommended for the treatment; however, when the recovery does not occur within two weeks, a physician is involved. Preventive measures include maintaining hygiene, wearing shoes, drying the feet carefully, and avoiding physical contact with the infected people. In the USA, 15-25% of people are infected by the disease, which means there is a need for public health intervention.</w:t>
      </w: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E77810" w:rsidRPr="00817D9A" w:rsidRDefault="00A63C3A" w:rsidP="00817D9A">
      <w:pPr>
        <w:spacing w:after="0" w:line="480" w:lineRule="auto"/>
        <w:ind w:firstLine="851"/>
        <w:jc w:val="center"/>
        <w:rPr>
          <w:rFonts w:ascii="Times New Roman" w:hAnsi="Times New Roman" w:cs="Times New Roman"/>
          <w:color w:val="000000" w:themeColor="text1"/>
          <w:sz w:val="24"/>
          <w:szCs w:val="24"/>
        </w:rPr>
      </w:pPr>
      <w:r w:rsidRPr="00817D9A">
        <w:rPr>
          <w:rFonts w:ascii="Times New Roman" w:hAnsi="Times New Roman" w:cs="Times New Roman"/>
          <w:color w:val="000000" w:themeColor="text1"/>
          <w:sz w:val="24"/>
          <w:szCs w:val="24"/>
        </w:rPr>
        <w:lastRenderedPageBreak/>
        <w:t>Athlete</w:t>
      </w:r>
      <w:r w:rsidR="0099018B">
        <w:rPr>
          <w:rFonts w:ascii="Times New Roman" w:hAnsi="Times New Roman" w:cs="Times New Roman"/>
          <w:color w:val="000000" w:themeColor="text1"/>
          <w:sz w:val="24"/>
          <w:szCs w:val="24"/>
        </w:rPr>
        <w:t>’</w:t>
      </w:r>
      <w:r w:rsidRPr="00817D9A">
        <w:rPr>
          <w:rFonts w:ascii="Times New Roman" w:hAnsi="Times New Roman" w:cs="Times New Roman"/>
          <w:color w:val="000000" w:themeColor="text1"/>
          <w:sz w:val="24"/>
          <w:szCs w:val="24"/>
        </w:rPr>
        <w:t>s Foot</w:t>
      </w:r>
    </w:p>
    <w:p w:rsidR="00C231BE" w:rsidRPr="00817D9A" w:rsidRDefault="00A63C3A" w:rsidP="00817D9A">
      <w:pPr>
        <w:spacing w:after="0" w:line="480" w:lineRule="auto"/>
        <w:ind w:firstLine="851"/>
        <w:rPr>
          <w:rFonts w:ascii="Times New Roman" w:hAnsi="Times New Roman" w:cs="Times New Roman"/>
          <w:color w:val="000000" w:themeColor="text1"/>
          <w:sz w:val="24"/>
          <w:szCs w:val="24"/>
        </w:rPr>
      </w:pPr>
      <w:r w:rsidRPr="00817D9A">
        <w:rPr>
          <w:rFonts w:ascii="Times New Roman" w:hAnsi="Times New Roman" w:cs="Times New Roman"/>
          <w:i/>
          <w:iCs/>
          <w:color w:val="000000" w:themeColor="text1"/>
          <w:sz w:val="24"/>
          <w:szCs w:val="24"/>
        </w:rPr>
        <w:t xml:space="preserve">Trichophyton rubrum </w:t>
      </w:r>
      <w:r w:rsidRPr="00817D9A">
        <w:rPr>
          <w:rFonts w:ascii="Times New Roman" w:hAnsi="Times New Roman" w:cs="Times New Roman"/>
          <w:color w:val="000000" w:themeColor="text1"/>
          <w:sz w:val="24"/>
          <w:szCs w:val="24"/>
        </w:rPr>
        <w:t>is one of the significant fungi which is infectious and vital to microbiology experts. It is a fungus that is categorized in the dermatophyte class. The fungus is also classified under the phylum Ascomycota, and it is acknowledged to be clonal as it invades the upper layer of the skin. The organism is characterized by a cottony surface and a whit</w:t>
      </w:r>
      <w:r w:rsidR="00161243" w:rsidRPr="00817D9A">
        <w:rPr>
          <w:rFonts w:ascii="Times New Roman" w:hAnsi="Times New Roman" w:cs="Times New Roman"/>
          <w:color w:val="000000" w:themeColor="text1"/>
          <w:sz w:val="24"/>
          <w:szCs w:val="24"/>
        </w:rPr>
        <w:t>e</w:t>
      </w:r>
      <w:r w:rsidRPr="00817D9A">
        <w:rPr>
          <w:rFonts w:ascii="Times New Roman" w:hAnsi="Times New Roman" w:cs="Times New Roman"/>
          <w:color w:val="000000" w:themeColor="text1"/>
          <w:sz w:val="24"/>
          <w:szCs w:val="24"/>
        </w:rPr>
        <w:t xml:space="preserve"> color. The underside colony of the fungus is red; however, some of the </w:t>
      </w:r>
      <w:r w:rsidR="00D04B75" w:rsidRPr="00817D9A">
        <w:rPr>
          <w:rFonts w:ascii="Times New Roman" w:hAnsi="Times New Roman" w:cs="Times New Roman"/>
          <w:color w:val="000000" w:themeColor="text1"/>
          <w:sz w:val="24"/>
          <w:szCs w:val="24"/>
        </w:rPr>
        <w:t>colony is</w:t>
      </w:r>
      <w:r w:rsidRPr="00817D9A">
        <w:rPr>
          <w:rFonts w:ascii="Times New Roman" w:hAnsi="Times New Roman" w:cs="Times New Roman"/>
          <w:color w:val="000000" w:themeColor="text1"/>
          <w:sz w:val="24"/>
          <w:szCs w:val="24"/>
        </w:rPr>
        <w:t xml:space="preserve"> yellow or brown. The gene interpretation of the fungus is challenging because of the lack of </w:t>
      </w:r>
      <w:r w:rsidR="0045035E" w:rsidRPr="00817D9A">
        <w:rPr>
          <w:rFonts w:ascii="Times New Roman" w:hAnsi="Times New Roman" w:cs="Times New Roman"/>
          <w:color w:val="000000" w:themeColor="text1"/>
          <w:sz w:val="24"/>
          <w:szCs w:val="24"/>
        </w:rPr>
        <w:t>mRNA, and the filamentous gene structure is also compl</w:t>
      </w:r>
      <w:r w:rsidR="00D90688" w:rsidRPr="00817D9A">
        <w:rPr>
          <w:rFonts w:ascii="Times New Roman" w:hAnsi="Times New Roman" w:cs="Times New Roman"/>
          <w:color w:val="000000" w:themeColor="text1"/>
          <w:sz w:val="24"/>
          <w:szCs w:val="24"/>
        </w:rPr>
        <w:t>icated (</w:t>
      </w:r>
      <w:r w:rsidR="00D90688" w:rsidRPr="00817D9A">
        <w:rPr>
          <w:rFonts w:ascii="Times New Roman" w:hAnsi="Times New Roman" w:cs="Times New Roman"/>
          <w:color w:val="000000" w:themeColor="text1"/>
          <w:sz w:val="24"/>
          <w:szCs w:val="24"/>
          <w:shd w:val="clear" w:color="auto" w:fill="FFFFFF"/>
        </w:rPr>
        <w:t>Van Rooij</w:t>
      </w:r>
      <w:r w:rsidR="009C3C5A" w:rsidRPr="00817D9A">
        <w:rPr>
          <w:rFonts w:ascii="Times New Roman" w:hAnsi="Times New Roman" w:cs="Times New Roman"/>
          <w:color w:val="000000" w:themeColor="text1"/>
          <w:sz w:val="24"/>
          <w:szCs w:val="24"/>
          <w:shd w:val="clear" w:color="auto" w:fill="FFFFFF"/>
        </w:rPr>
        <w:t>, Declercq</w:t>
      </w:r>
      <w:r w:rsidR="00D90688" w:rsidRPr="00817D9A">
        <w:rPr>
          <w:rFonts w:ascii="Times New Roman" w:hAnsi="Times New Roman" w:cs="Times New Roman"/>
          <w:color w:val="000000" w:themeColor="text1"/>
          <w:sz w:val="24"/>
          <w:szCs w:val="24"/>
          <w:shd w:val="clear" w:color="auto" w:fill="FFFFFF"/>
        </w:rPr>
        <w:t xml:space="preserve"> &amp; Beguin</w:t>
      </w:r>
      <w:r w:rsidR="009C3C5A" w:rsidRPr="00817D9A">
        <w:rPr>
          <w:rFonts w:ascii="Times New Roman" w:hAnsi="Times New Roman" w:cs="Times New Roman"/>
          <w:color w:val="000000" w:themeColor="text1"/>
          <w:sz w:val="24"/>
          <w:szCs w:val="24"/>
          <w:shd w:val="clear" w:color="auto" w:fill="FFFFFF"/>
        </w:rPr>
        <w:t>, 2011</w:t>
      </w:r>
      <w:r w:rsidR="00D90688" w:rsidRPr="00817D9A">
        <w:rPr>
          <w:rFonts w:ascii="Times New Roman" w:hAnsi="Times New Roman" w:cs="Times New Roman"/>
          <w:color w:val="000000" w:themeColor="text1"/>
          <w:sz w:val="24"/>
          <w:szCs w:val="24"/>
          <w:shd w:val="clear" w:color="auto" w:fill="FFFFFF"/>
        </w:rPr>
        <w:t>)</w:t>
      </w:r>
      <w:r w:rsidR="0045035E" w:rsidRPr="00817D9A">
        <w:rPr>
          <w:rFonts w:ascii="Times New Roman" w:hAnsi="Times New Roman" w:cs="Times New Roman"/>
          <w:color w:val="000000" w:themeColor="text1"/>
          <w:sz w:val="24"/>
          <w:szCs w:val="24"/>
        </w:rPr>
        <w:t xml:space="preserve">. The species produce grain shaped strains when they are cultured. The granular shaped strains that are pyriform or clavate </w:t>
      </w:r>
      <w:r w:rsidR="009C3C5A" w:rsidRPr="00817D9A">
        <w:rPr>
          <w:rFonts w:ascii="Times New Roman" w:hAnsi="Times New Roman" w:cs="Times New Roman"/>
          <w:color w:val="000000" w:themeColor="text1"/>
          <w:sz w:val="24"/>
          <w:szCs w:val="24"/>
        </w:rPr>
        <w:t>influence</w:t>
      </w:r>
      <w:r w:rsidR="0045035E" w:rsidRPr="00817D9A">
        <w:rPr>
          <w:rFonts w:ascii="Times New Roman" w:hAnsi="Times New Roman" w:cs="Times New Roman"/>
          <w:color w:val="000000" w:themeColor="text1"/>
          <w:sz w:val="24"/>
          <w:szCs w:val="24"/>
        </w:rPr>
        <w:t xml:space="preserve"> its defining structure. The lifecycle of the </w:t>
      </w:r>
      <w:r w:rsidR="0045035E" w:rsidRPr="00817D9A">
        <w:rPr>
          <w:rFonts w:ascii="Times New Roman" w:hAnsi="Times New Roman" w:cs="Times New Roman"/>
          <w:i/>
          <w:iCs/>
          <w:color w:val="000000" w:themeColor="text1"/>
          <w:sz w:val="24"/>
          <w:szCs w:val="24"/>
        </w:rPr>
        <w:t xml:space="preserve">T. rubrum </w:t>
      </w:r>
      <w:r w:rsidR="0045035E" w:rsidRPr="00817D9A">
        <w:rPr>
          <w:rFonts w:ascii="Times New Roman" w:hAnsi="Times New Roman" w:cs="Times New Roman"/>
          <w:color w:val="000000" w:themeColor="text1"/>
          <w:sz w:val="24"/>
          <w:szCs w:val="24"/>
        </w:rPr>
        <w:t>is classified into two: the anamorph (which is an asexual phase) and the teleomorph (the sexual stage). In the asexual phase, the growth of the organism is 5%. The cells grow well at a temperature of 25</w:t>
      </w:r>
      <w:r w:rsidR="002744E1" w:rsidRPr="00817D9A">
        <w:rPr>
          <w:rFonts w:ascii="Times New Roman" w:hAnsi="Times New Roman" w:cs="Times New Roman"/>
          <w:color w:val="000000" w:themeColor="text1"/>
          <w:sz w:val="24"/>
          <w:szCs w:val="24"/>
        </w:rPr>
        <w:t xml:space="preserve"> degrees Celsius, and the cells lengthen in pairs. The cell division in this stage is multilateral, which leads to the development of white-yellowish color. In the sexual stage, the genetic expression occurs where the species virulence increases following increased metabolism.  </w:t>
      </w:r>
    </w:p>
    <w:p w:rsidR="00817D9A" w:rsidRDefault="00A63C3A" w:rsidP="00817D9A">
      <w:pPr>
        <w:spacing w:after="0" w:line="480" w:lineRule="auto"/>
        <w:ind w:firstLine="851"/>
        <w:rPr>
          <w:rFonts w:ascii="Times New Roman" w:hAnsi="Times New Roman" w:cs="Times New Roman"/>
          <w:color w:val="000000" w:themeColor="text1"/>
          <w:sz w:val="24"/>
          <w:szCs w:val="24"/>
        </w:rPr>
      </w:pPr>
      <w:r w:rsidRPr="00817D9A">
        <w:rPr>
          <w:rFonts w:ascii="Times New Roman" w:hAnsi="Times New Roman" w:cs="Times New Roman"/>
          <w:color w:val="000000" w:themeColor="text1"/>
          <w:sz w:val="24"/>
          <w:szCs w:val="24"/>
        </w:rPr>
        <w:t xml:space="preserve">The disease caused by </w:t>
      </w:r>
      <w:r w:rsidRPr="00817D9A">
        <w:rPr>
          <w:rFonts w:ascii="Times New Roman" w:hAnsi="Times New Roman" w:cs="Times New Roman"/>
          <w:i/>
          <w:iCs/>
          <w:color w:val="000000" w:themeColor="text1"/>
          <w:sz w:val="24"/>
          <w:szCs w:val="24"/>
        </w:rPr>
        <w:t>T. rubrum</w:t>
      </w:r>
      <w:r w:rsidR="00861DD8" w:rsidRPr="00817D9A">
        <w:rPr>
          <w:rFonts w:ascii="Times New Roman" w:hAnsi="Times New Roman" w:cs="Times New Roman"/>
          <w:color w:val="000000" w:themeColor="text1"/>
          <w:sz w:val="24"/>
          <w:szCs w:val="24"/>
        </w:rPr>
        <w:t xml:space="preserve">is the athlete's foot, also known as tinea pedis. The fungus initiates the condition in between the toes. The disease is revealed to be shared among the people who have sweaty feet and, at the same time, wear tight shoes. The port of entry for </w:t>
      </w:r>
      <w:r w:rsidR="00861DD8" w:rsidRPr="00817D9A">
        <w:rPr>
          <w:rFonts w:ascii="Times New Roman" w:hAnsi="Times New Roman" w:cs="Times New Roman"/>
          <w:i/>
          <w:iCs/>
          <w:color w:val="000000" w:themeColor="text1"/>
          <w:sz w:val="24"/>
          <w:szCs w:val="24"/>
        </w:rPr>
        <w:t>the T. rubrum</w:t>
      </w:r>
      <w:r w:rsidR="00861DD8" w:rsidRPr="00817D9A">
        <w:rPr>
          <w:rFonts w:ascii="Times New Roman" w:hAnsi="Times New Roman" w:cs="Times New Roman"/>
          <w:color w:val="000000" w:themeColor="text1"/>
          <w:sz w:val="24"/>
          <w:szCs w:val="24"/>
        </w:rPr>
        <w:t xml:space="preserve"> is the skin that invades the nail plate and nail beds. The invasion of the nail is more common for the infection as the fungus penetrates through the cuticle area at the nail folds. The mode of entry for the fungi is caused by trauma following the friction on the nails. For the growth and the production </w:t>
      </w:r>
      <w:r w:rsidR="00A42994" w:rsidRPr="00817D9A">
        <w:rPr>
          <w:rFonts w:ascii="Times New Roman" w:hAnsi="Times New Roman" w:cs="Times New Roman"/>
          <w:color w:val="000000" w:themeColor="text1"/>
          <w:sz w:val="24"/>
          <w:szCs w:val="24"/>
        </w:rPr>
        <w:t xml:space="preserve">of antigen, the fungus needs a temperature of approximately 25-32 degrees Celsius. A research done by Ramalingappa (2018) to study the </w:t>
      </w:r>
      <w:r w:rsidR="00A42994" w:rsidRPr="00817D9A">
        <w:rPr>
          <w:rFonts w:ascii="Times New Roman" w:hAnsi="Times New Roman" w:cs="Times New Roman"/>
          <w:color w:val="000000" w:themeColor="text1"/>
          <w:sz w:val="24"/>
          <w:szCs w:val="24"/>
        </w:rPr>
        <w:lastRenderedPageBreak/>
        <w:t xml:space="preserve">optimization of environmental factors for </w:t>
      </w:r>
      <w:r w:rsidR="00A42994" w:rsidRPr="00817D9A">
        <w:rPr>
          <w:rFonts w:ascii="Times New Roman" w:hAnsi="Times New Roman" w:cs="Times New Roman"/>
          <w:i/>
          <w:iCs/>
          <w:color w:val="000000" w:themeColor="text1"/>
          <w:sz w:val="24"/>
          <w:szCs w:val="24"/>
        </w:rPr>
        <w:t xml:space="preserve">T. rubrum </w:t>
      </w:r>
      <w:r w:rsidR="00A42994" w:rsidRPr="00817D9A">
        <w:rPr>
          <w:rFonts w:ascii="Times New Roman" w:hAnsi="Times New Roman" w:cs="Times New Roman"/>
          <w:color w:val="000000" w:themeColor="text1"/>
          <w:sz w:val="24"/>
          <w:szCs w:val="24"/>
        </w:rPr>
        <w:t>found out that the species has a maximum incubation period of 30 days.</w:t>
      </w:r>
    </w:p>
    <w:p w:rsidR="00817D9A" w:rsidRDefault="00A42994" w:rsidP="00817D9A">
      <w:pPr>
        <w:spacing w:after="0" w:line="480" w:lineRule="auto"/>
        <w:ind w:firstLine="851"/>
        <w:rPr>
          <w:rFonts w:ascii="Times New Roman" w:hAnsi="Times New Roman" w:cs="Times New Roman"/>
          <w:color w:val="000000" w:themeColor="text1"/>
          <w:sz w:val="24"/>
          <w:szCs w:val="24"/>
        </w:rPr>
      </w:pPr>
      <w:r w:rsidRPr="00817D9A">
        <w:rPr>
          <w:rFonts w:ascii="Times New Roman" w:hAnsi="Times New Roman" w:cs="Times New Roman"/>
          <w:color w:val="000000" w:themeColor="text1"/>
          <w:sz w:val="24"/>
          <w:szCs w:val="24"/>
        </w:rPr>
        <w:t xml:space="preserve">The athlete's foot presents with a red rash, which is scaly. The presence of rushes starts in between the toes. </w:t>
      </w:r>
      <w:r w:rsidR="006B593E" w:rsidRPr="00817D9A">
        <w:rPr>
          <w:rFonts w:ascii="Times New Roman" w:hAnsi="Times New Roman" w:cs="Times New Roman"/>
          <w:color w:val="000000" w:themeColor="text1"/>
          <w:sz w:val="24"/>
          <w:szCs w:val="24"/>
        </w:rPr>
        <w:t>When these crashes occur, they start itching, which makes people who are infected to feel uncomfortable. The uncomfortable feeling affects individuals as they evade wearing shoes or socks. T</w:t>
      </w:r>
      <w:r w:rsidR="00D04B75">
        <w:rPr>
          <w:rFonts w:ascii="Times New Roman" w:hAnsi="Times New Roman" w:cs="Times New Roman"/>
          <w:color w:val="000000" w:themeColor="text1"/>
          <w:sz w:val="24"/>
          <w:szCs w:val="24"/>
        </w:rPr>
        <w:t xml:space="preserve">he athlete's foot also presents itself </w:t>
      </w:r>
      <w:r w:rsidR="006B593E" w:rsidRPr="00817D9A">
        <w:rPr>
          <w:rFonts w:ascii="Times New Roman" w:hAnsi="Times New Roman" w:cs="Times New Roman"/>
          <w:color w:val="000000" w:themeColor="text1"/>
          <w:sz w:val="24"/>
          <w:szCs w:val="24"/>
        </w:rPr>
        <w:t>with ulcerative wounds and blisters. These blisters appear on the sole of the feet; however, this symptom does not occur in all cases of tinea pedis. The presence of blisters and ulcers leads to the risk of the spread of the disease to other body parts. When an infected person touches the blisters and touches other body parts, the infection spreads. The presence of cysts leads to the scaling of the feet when the blisters are dry. The scaling may extend to the sides of the feet.</w:t>
      </w:r>
    </w:p>
    <w:p w:rsidR="00D4490A" w:rsidRPr="00817D9A" w:rsidRDefault="00A63C3A" w:rsidP="00817D9A">
      <w:pPr>
        <w:spacing w:after="0" w:line="480" w:lineRule="auto"/>
        <w:ind w:firstLine="851"/>
        <w:rPr>
          <w:rFonts w:ascii="Times New Roman" w:hAnsi="Times New Roman" w:cs="Times New Roman"/>
          <w:color w:val="000000" w:themeColor="text1"/>
          <w:sz w:val="24"/>
          <w:szCs w:val="24"/>
        </w:rPr>
      </w:pPr>
      <w:r w:rsidRPr="00817D9A">
        <w:rPr>
          <w:rFonts w:ascii="Times New Roman" w:hAnsi="Times New Roman" w:cs="Times New Roman"/>
          <w:color w:val="000000" w:themeColor="text1"/>
          <w:sz w:val="24"/>
          <w:szCs w:val="24"/>
        </w:rPr>
        <w:t>The disease can</w:t>
      </w:r>
      <w:r w:rsidR="00817D9A">
        <w:rPr>
          <w:rFonts w:ascii="Times New Roman" w:hAnsi="Times New Roman" w:cs="Times New Roman"/>
          <w:color w:val="000000" w:themeColor="text1"/>
          <w:sz w:val="24"/>
          <w:szCs w:val="24"/>
        </w:rPr>
        <w:t xml:space="preserve"> be</w:t>
      </w:r>
      <w:r w:rsidRPr="00817D9A">
        <w:rPr>
          <w:rFonts w:ascii="Times New Roman" w:hAnsi="Times New Roman" w:cs="Times New Roman"/>
          <w:color w:val="000000" w:themeColor="text1"/>
          <w:sz w:val="24"/>
          <w:szCs w:val="24"/>
        </w:rPr>
        <w:t xml:space="preserve"> self-li</w:t>
      </w:r>
      <w:r w:rsidR="00D04B75">
        <w:rPr>
          <w:rFonts w:ascii="Times New Roman" w:hAnsi="Times New Roman" w:cs="Times New Roman"/>
          <w:color w:val="000000" w:themeColor="text1"/>
          <w:sz w:val="24"/>
          <w:szCs w:val="24"/>
        </w:rPr>
        <w:t>miting; however, when the rashes</w:t>
      </w:r>
      <w:r w:rsidRPr="00817D9A">
        <w:rPr>
          <w:rFonts w:ascii="Times New Roman" w:hAnsi="Times New Roman" w:cs="Times New Roman"/>
          <w:color w:val="000000" w:themeColor="text1"/>
          <w:sz w:val="24"/>
          <w:szCs w:val="24"/>
        </w:rPr>
        <w:t xml:space="preserve"> do not disappear after two weeks, the health care management t</w:t>
      </w:r>
      <w:r w:rsidR="00D04B75">
        <w:rPr>
          <w:rFonts w:ascii="Times New Roman" w:hAnsi="Times New Roman" w:cs="Times New Roman"/>
          <w:color w:val="000000" w:themeColor="text1"/>
          <w:sz w:val="24"/>
          <w:szCs w:val="24"/>
        </w:rPr>
        <w:t>hrough medical interventions is</w:t>
      </w:r>
      <w:r w:rsidRPr="00817D9A">
        <w:rPr>
          <w:rFonts w:ascii="Times New Roman" w:hAnsi="Times New Roman" w:cs="Times New Roman"/>
          <w:color w:val="000000" w:themeColor="text1"/>
          <w:sz w:val="24"/>
          <w:szCs w:val="24"/>
        </w:rPr>
        <w:t xml:space="preserve"> involved. The most used diagnostic procedure for the disease is the assessment of the symptoms</w:t>
      </w:r>
      <w:r w:rsidR="00D90688" w:rsidRPr="00817D9A">
        <w:rPr>
          <w:rFonts w:ascii="Times New Roman" w:hAnsi="Times New Roman" w:cs="Times New Roman"/>
          <w:color w:val="000000" w:themeColor="text1"/>
          <w:sz w:val="24"/>
          <w:szCs w:val="24"/>
        </w:rPr>
        <w:t xml:space="preserve"> (</w:t>
      </w:r>
      <w:r w:rsidR="00D90688" w:rsidRPr="00817D9A">
        <w:rPr>
          <w:rFonts w:ascii="Times New Roman" w:hAnsi="Times New Roman" w:cs="Times New Roman"/>
          <w:color w:val="000000" w:themeColor="text1"/>
          <w:sz w:val="24"/>
          <w:szCs w:val="24"/>
          <w:shd w:val="clear" w:color="auto" w:fill="FFFFFF"/>
        </w:rPr>
        <w:t>Crawford, 2019</w:t>
      </w:r>
      <w:r w:rsidRPr="00817D9A">
        <w:rPr>
          <w:rFonts w:ascii="Times New Roman" w:hAnsi="Times New Roman" w:cs="Times New Roman"/>
          <w:color w:val="000000" w:themeColor="text1"/>
          <w:sz w:val="24"/>
          <w:szCs w:val="24"/>
        </w:rPr>
        <w:t>. The signs and symptoms are done by using physical evaluation and the history presented by the patient. Also, the use of skin tests can be done by the laboratory personnel by culturing the fungus to realize the causative agent. Potassium hydroxide (KOH) agent is applied on the skin lesion in the diagnosis of the disease. Skin cells are scraped from the wound and put in the KOH. KOH destroys the cells leaving the fungal cells for more straightforward assessment through the microscopic examination.</w:t>
      </w:r>
    </w:p>
    <w:p w:rsidR="002744E1" w:rsidRDefault="00A63C3A" w:rsidP="00817D9A">
      <w:pPr>
        <w:spacing w:after="0" w:line="480" w:lineRule="auto"/>
        <w:ind w:firstLine="851"/>
        <w:rPr>
          <w:rFonts w:ascii="Times New Roman" w:hAnsi="Times New Roman" w:cs="Times New Roman"/>
          <w:color w:val="000000" w:themeColor="text1"/>
          <w:sz w:val="24"/>
          <w:szCs w:val="24"/>
        </w:rPr>
      </w:pPr>
      <w:r w:rsidRPr="00817D9A">
        <w:rPr>
          <w:rFonts w:ascii="Times New Roman" w:hAnsi="Times New Roman" w:cs="Times New Roman"/>
          <w:color w:val="000000" w:themeColor="text1"/>
          <w:sz w:val="24"/>
          <w:szCs w:val="24"/>
        </w:rPr>
        <w:t xml:space="preserve">The standardized treatment for the disease involves the use of over the counter medications and the prescribed drugs. Examples of over the counter drugs that are recommended include miconazole, terbinafine, clotrimazole, and butenafine. All these medications are topical drugs that are applied to the area of infection. </w:t>
      </w:r>
      <w:r w:rsidR="00C92624" w:rsidRPr="00817D9A">
        <w:rPr>
          <w:rFonts w:ascii="Times New Roman" w:hAnsi="Times New Roman" w:cs="Times New Roman"/>
          <w:color w:val="000000" w:themeColor="text1"/>
          <w:sz w:val="24"/>
          <w:szCs w:val="24"/>
        </w:rPr>
        <w:t xml:space="preserve">The prescribed drugs include topical drugs such as miconazole and clotrimazole. Also, oral antifungal medicines </w:t>
      </w:r>
      <w:r w:rsidR="00C92624" w:rsidRPr="00817D9A">
        <w:rPr>
          <w:rFonts w:ascii="Times New Roman" w:hAnsi="Times New Roman" w:cs="Times New Roman"/>
          <w:color w:val="000000" w:themeColor="text1"/>
          <w:sz w:val="24"/>
          <w:szCs w:val="24"/>
        </w:rPr>
        <w:lastRenderedPageBreak/>
        <w:t>such as fluconazole and itraconazole are given to the patients. Steroid medications such as hydrocortisone creams are provided for the patient to prevent inflammation. The use of antibiotics manages the presence of blisters. The experimental treatment for athletes' foot has been done using sertaconazole, and the treatment has been approved by research to be effective when used for four weeks</w:t>
      </w:r>
      <w:r w:rsidR="00D90688" w:rsidRPr="00817D9A">
        <w:rPr>
          <w:rFonts w:ascii="Times New Roman" w:hAnsi="Times New Roman" w:cs="Times New Roman"/>
          <w:color w:val="000000" w:themeColor="text1"/>
          <w:sz w:val="24"/>
          <w:szCs w:val="24"/>
        </w:rPr>
        <w:t xml:space="preserve"> (</w:t>
      </w:r>
      <w:r w:rsidR="00D90688" w:rsidRPr="00817D9A">
        <w:rPr>
          <w:rFonts w:ascii="Times New Roman" w:hAnsi="Times New Roman" w:cs="Times New Roman"/>
          <w:color w:val="000000" w:themeColor="text1"/>
          <w:sz w:val="24"/>
          <w:szCs w:val="24"/>
          <w:shd w:val="clear" w:color="auto" w:fill="FFFFFF"/>
        </w:rPr>
        <w:t>Crawford, 2019)</w:t>
      </w:r>
      <w:r w:rsidR="00C92624" w:rsidRPr="00817D9A">
        <w:rPr>
          <w:rFonts w:ascii="Times New Roman" w:hAnsi="Times New Roman" w:cs="Times New Roman"/>
          <w:color w:val="000000" w:themeColor="text1"/>
          <w:sz w:val="24"/>
          <w:szCs w:val="24"/>
        </w:rPr>
        <w:t xml:space="preserve">. The prevention of athlete's foot includes wearing of footwear in changing rooms and showers, drying the feet carefully, wearing clean socks and changing them every day, wearing socks made of cotton, wearing of sandals when possible, and frequent washing of towels. The host range of agent for </w:t>
      </w:r>
      <w:r w:rsidR="00C92624" w:rsidRPr="00817D9A">
        <w:rPr>
          <w:rFonts w:ascii="Times New Roman" w:hAnsi="Times New Roman" w:cs="Times New Roman"/>
          <w:i/>
          <w:iCs/>
          <w:color w:val="000000" w:themeColor="text1"/>
          <w:sz w:val="24"/>
          <w:szCs w:val="24"/>
        </w:rPr>
        <w:t xml:space="preserve">T. rubrum </w:t>
      </w:r>
      <w:r w:rsidR="00C92624" w:rsidRPr="00817D9A">
        <w:rPr>
          <w:rFonts w:ascii="Times New Roman" w:hAnsi="Times New Roman" w:cs="Times New Roman"/>
          <w:color w:val="000000" w:themeColor="text1"/>
          <w:sz w:val="24"/>
          <w:szCs w:val="24"/>
        </w:rPr>
        <w:t xml:space="preserve">can be defined to be comprehensive. </w:t>
      </w:r>
      <w:r w:rsidR="00D4490A" w:rsidRPr="00817D9A">
        <w:rPr>
          <w:rFonts w:ascii="Times New Roman" w:hAnsi="Times New Roman" w:cs="Times New Roman"/>
          <w:color w:val="000000" w:themeColor="text1"/>
          <w:sz w:val="24"/>
          <w:szCs w:val="24"/>
        </w:rPr>
        <w:t>The fungus has other reservoirs animals such as cows and sheep (Gnat et al., 2019). The agent is transmitted from an infected person to a healthy person through physical contact. Also, when a healthy person comes into contact with the towel, socks, cap, comb, or clothes of an infected individual, he or she is infected. In the USA, 15-25% of people suffer from athletes' foot consistently (</w:t>
      </w:r>
      <w:r w:rsidR="00D4490A" w:rsidRPr="00817D9A">
        <w:rPr>
          <w:rFonts w:ascii="Times New Roman" w:hAnsi="Times New Roman" w:cs="Times New Roman"/>
          <w:color w:val="000000" w:themeColor="text1"/>
          <w:sz w:val="24"/>
          <w:szCs w:val="24"/>
          <w:shd w:val="clear" w:color="auto" w:fill="FFFFFF"/>
        </w:rPr>
        <w:t>Crawford, 2019)</w:t>
      </w:r>
      <w:r w:rsidR="00D4490A" w:rsidRPr="00817D9A">
        <w:rPr>
          <w:rFonts w:ascii="Times New Roman" w:hAnsi="Times New Roman" w:cs="Times New Roman"/>
          <w:color w:val="000000" w:themeColor="text1"/>
          <w:sz w:val="24"/>
          <w:szCs w:val="24"/>
        </w:rPr>
        <w:t>. This infection is of public health significance as it affects many people, and prevention measures are set to ensure that the prevalence is reduced.</w:t>
      </w:r>
    </w:p>
    <w:p w:rsidR="00817D9A" w:rsidRDefault="00A63C3A" w:rsidP="00817D9A">
      <w:pPr>
        <w:spacing w:after="0" w:line="480" w:lineRule="auto"/>
        <w:ind w:firstLine="851"/>
        <w:jc w:val="center"/>
        <w:rPr>
          <w:rFonts w:ascii="Times New Roman" w:hAnsi="Times New Roman" w:cs="Times New Roman"/>
          <w:b/>
          <w:bCs/>
          <w:color w:val="000000" w:themeColor="text1"/>
          <w:sz w:val="24"/>
          <w:szCs w:val="24"/>
        </w:rPr>
      </w:pPr>
      <w:r w:rsidRPr="00817D9A">
        <w:rPr>
          <w:rFonts w:ascii="Times New Roman" w:hAnsi="Times New Roman" w:cs="Times New Roman"/>
          <w:b/>
          <w:bCs/>
          <w:color w:val="000000" w:themeColor="text1"/>
          <w:sz w:val="24"/>
          <w:szCs w:val="24"/>
        </w:rPr>
        <w:t>Conclusion</w:t>
      </w:r>
    </w:p>
    <w:p w:rsidR="00817D9A" w:rsidRPr="00383E69" w:rsidRDefault="00A63C3A" w:rsidP="00817D9A">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D04B75">
        <w:rPr>
          <w:rFonts w:ascii="Times New Roman" w:hAnsi="Times New Roman" w:cs="Times New Roman"/>
          <w:color w:val="000000" w:themeColor="text1"/>
          <w:sz w:val="24"/>
          <w:szCs w:val="24"/>
        </w:rPr>
        <w:t>s evident, a</w:t>
      </w:r>
      <w:r>
        <w:rPr>
          <w:rFonts w:ascii="Times New Roman" w:hAnsi="Times New Roman" w:cs="Times New Roman"/>
          <w:color w:val="000000" w:themeColor="text1"/>
          <w:sz w:val="24"/>
          <w:szCs w:val="24"/>
        </w:rPr>
        <w:t>thlete</w:t>
      </w:r>
      <w:r w:rsidR="00D04B7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s foot is an infectious disease that spreads through physical contacts or through </w:t>
      </w:r>
      <w:r w:rsidR="00383E69">
        <w:rPr>
          <w:rFonts w:ascii="Times New Roman" w:hAnsi="Times New Roman" w:cs="Times New Roman"/>
          <w:color w:val="000000" w:themeColor="text1"/>
          <w:sz w:val="24"/>
          <w:szCs w:val="24"/>
        </w:rPr>
        <w:t xml:space="preserve">items that are infected by the fungus. The condition is also known as tinea pedis and is caused by a fungus known as </w:t>
      </w:r>
      <w:r w:rsidR="00383E69" w:rsidRPr="00383E69">
        <w:rPr>
          <w:rFonts w:ascii="Times New Roman" w:hAnsi="Times New Roman" w:cs="Times New Roman"/>
          <w:i/>
          <w:iCs/>
          <w:color w:val="000000" w:themeColor="text1"/>
          <w:sz w:val="24"/>
          <w:szCs w:val="24"/>
        </w:rPr>
        <w:t>T. rubrum. T. rubrum</w:t>
      </w:r>
      <w:r w:rsidR="00383E69">
        <w:rPr>
          <w:rFonts w:ascii="Times New Roman" w:hAnsi="Times New Roman" w:cs="Times New Roman"/>
          <w:color w:val="000000" w:themeColor="text1"/>
          <w:sz w:val="24"/>
          <w:szCs w:val="24"/>
        </w:rPr>
        <w:t>is</w:t>
      </w:r>
      <w:r w:rsidR="00D04B75">
        <w:rPr>
          <w:rFonts w:ascii="Times New Roman" w:hAnsi="Times New Roman" w:cs="Times New Roman"/>
          <w:color w:val="000000" w:themeColor="text1"/>
          <w:sz w:val="24"/>
          <w:szCs w:val="24"/>
        </w:rPr>
        <w:t xml:space="preserve"> is</w:t>
      </w:r>
      <w:r w:rsidR="00383E69">
        <w:rPr>
          <w:rFonts w:ascii="Times New Roman" w:hAnsi="Times New Roman" w:cs="Times New Roman"/>
          <w:color w:val="000000" w:themeColor="text1"/>
          <w:sz w:val="24"/>
          <w:szCs w:val="24"/>
        </w:rPr>
        <w:t xml:space="preserve"> a fungus that is classified under dermatophytes and phylum Ascomycota. The fungi are very infectious, and it has been reported to cause a 15-25% prevalence of the disease. Therefore, there is a need for the prevention of the disease as it creates a lack of comfort following the itching and scaling of the feet. Health care professionals should educate people on how to prevent the occurrence of the disease through hygiene and to avoid physical contact with infected people. Also, people should be informed about the condition's seriousness as it can resist treatment when it </w:t>
      </w:r>
      <w:r w:rsidR="00D04B75">
        <w:rPr>
          <w:rFonts w:ascii="Times New Roman" w:hAnsi="Times New Roman" w:cs="Times New Roman"/>
          <w:color w:val="000000" w:themeColor="text1"/>
          <w:sz w:val="24"/>
          <w:szCs w:val="24"/>
        </w:rPr>
        <w:lastRenderedPageBreak/>
        <w:t>is complicated and t</w:t>
      </w:r>
      <w:r w:rsidR="00383E69">
        <w:rPr>
          <w:rFonts w:ascii="Times New Roman" w:hAnsi="Times New Roman" w:cs="Times New Roman"/>
          <w:color w:val="000000" w:themeColor="text1"/>
          <w:sz w:val="24"/>
          <w:szCs w:val="24"/>
        </w:rPr>
        <w:t xml:space="preserve">herefore, </w:t>
      </w:r>
      <w:r w:rsidR="00383E69" w:rsidRPr="00383E69">
        <w:rPr>
          <w:rFonts w:ascii="Times New Roman" w:hAnsi="Times New Roman" w:cs="Times New Roman"/>
          <w:i/>
          <w:iCs/>
          <w:color w:val="000000" w:themeColor="text1"/>
          <w:sz w:val="24"/>
          <w:szCs w:val="24"/>
        </w:rPr>
        <w:t xml:space="preserve">T. </w:t>
      </w:r>
      <w:r w:rsidR="001B5C5B" w:rsidRPr="00383E69">
        <w:rPr>
          <w:rFonts w:ascii="Times New Roman" w:hAnsi="Times New Roman" w:cs="Times New Roman"/>
          <w:i/>
          <w:iCs/>
          <w:color w:val="000000" w:themeColor="text1"/>
          <w:sz w:val="24"/>
          <w:szCs w:val="24"/>
        </w:rPr>
        <w:t>rubrum</w:t>
      </w:r>
      <w:r w:rsidR="00D04B75">
        <w:rPr>
          <w:rFonts w:ascii="Times New Roman" w:hAnsi="Times New Roman" w:cs="Times New Roman"/>
          <w:i/>
          <w:iCs/>
          <w:color w:val="000000" w:themeColor="text1"/>
          <w:sz w:val="24"/>
          <w:szCs w:val="24"/>
        </w:rPr>
        <w:t xml:space="preserve"> </w:t>
      </w:r>
      <w:r w:rsidR="001B5C5B">
        <w:rPr>
          <w:rFonts w:ascii="Times New Roman" w:hAnsi="Times New Roman" w:cs="Times New Roman"/>
          <w:color w:val="000000" w:themeColor="text1"/>
          <w:sz w:val="24"/>
          <w:szCs w:val="24"/>
        </w:rPr>
        <w:t>is</w:t>
      </w:r>
      <w:r w:rsidR="00383E69">
        <w:rPr>
          <w:rFonts w:ascii="Times New Roman" w:hAnsi="Times New Roman" w:cs="Times New Roman"/>
          <w:color w:val="000000" w:themeColor="text1"/>
          <w:sz w:val="24"/>
          <w:szCs w:val="24"/>
        </w:rPr>
        <w:t xml:space="preserve"> a significant </w:t>
      </w:r>
      <w:r w:rsidR="00822BA6">
        <w:rPr>
          <w:rFonts w:ascii="Times New Roman" w:hAnsi="Times New Roman" w:cs="Times New Roman"/>
          <w:color w:val="000000" w:themeColor="text1"/>
          <w:sz w:val="24"/>
          <w:szCs w:val="24"/>
        </w:rPr>
        <w:t>microorganism to be studied to ensure the management of infection.</w:t>
      </w: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ind w:firstLine="851"/>
        <w:rPr>
          <w:rFonts w:ascii="Times New Roman" w:hAnsi="Times New Roman" w:cs="Times New Roman"/>
          <w:color w:val="000000" w:themeColor="text1"/>
          <w:sz w:val="24"/>
          <w:szCs w:val="24"/>
        </w:rPr>
      </w:pPr>
    </w:p>
    <w:p w:rsidR="00817D9A" w:rsidRDefault="00817D9A" w:rsidP="00817D9A">
      <w:pPr>
        <w:spacing w:after="0" w:line="480" w:lineRule="auto"/>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Default="00822BA6" w:rsidP="00817D9A">
      <w:pPr>
        <w:spacing w:after="0" w:line="480" w:lineRule="auto"/>
        <w:ind w:firstLine="851"/>
        <w:jc w:val="center"/>
        <w:rPr>
          <w:rFonts w:ascii="Times New Roman" w:hAnsi="Times New Roman" w:cs="Times New Roman"/>
          <w:color w:val="000000" w:themeColor="text1"/>
          <w:sz w:val="24"/>
          <w:szCs w:val="24"/>
        </w:rPr>
      </w:pPr>
    </w:p>
    <w:p w:rsidR="00822BA6" w:rsidRPr="00817D9A" w:rsidRDefault="00A63C3A" w:rsidP="00822BA6">
      <w:pPr>
        <w:spacing w:after="0" w:line="480" w:lineRule="auto"/>
        <w:ind w:firstLine="851"/>
        <w:jc w:val="center"/>
        <w:rPr>
          <w:rFonts w:ascii="Times New Roman" w:hAnsi="Times New Roman" w:cs="Times New Roman"/>
          <w:color w:val="000000" w:themeColor="text1"/>
          <w:sz w:val="24"/>
          <w:szCs w:val="24"/>
        </w:rPr>
      </w:pPr>
      <w:r w:rsidRPr="00817D9A">
        <w:rPr>
          <w:rFonts w:ascii="Times New Roman" w:hAnsi="Times New Roman" w:cs="Times New Roman"/>
          <w:color w:val="000000" w:themeColor="text1"/>
          <w:sz w:val="24"/>
          <w:szCs w:val="24"/>
        </w:rPr>
        <w:lastRenderedPageBreak/>
        <w:t>References</w:t>
      </w:r>
    </w:p>
    <w:p w:rsidR="00822BA6" w:rsidRPr="00817D9A" w:rsidRDefault="00A63C3A" w:rsidP="00822BA6">
      <w:pPr>
        <w:spacing w:after="0" w:line="480" w:lineRule="auto"/>
        <w:ind w:left="851" w:hanging="851"/>
        <w:rPr>
          <w:rFonts w:ascii="Times New Roman" w:hAnsi="Times New Roman" w:cs="Times New Roman"/>
          <w:color w:val="000000" w:themeColor="text1"/>
          <w:sz w:val="24"/>
          <w:szCs w:val="24"/>
        </w:rPr>
      </w:pPr>
      <w:r w:rsidRPr="00817D9A">
        <w:rPr>
          <w:rFonts w:ascii="Times New Roman" w:hAnsi="Times New Roman" w:cs="Times New Roman"/>
          <w:color w:val="000000" w:themeColor="text1"/>
          <w:sz w:val="24"/>
          <w:szCs w:val="24"/>
          <w:shd w:val="clear" w:color="auto" w:fill="FFFFFF"/>
        </w:rPr>
        <w:t>Crawford, F. (2019). Athlete's foot. </w:t>
      </w:r>
      <w:r w:rsidRPr="00817D9A">
        <w:rPr>
          <w:rFonts w:ascii="Times New Roman" w:hAnsi="Times New Roman" w:cs="Times New Roman"/>
          <w:i/>
          <w:iCs/>
          <w:color w:val="000000" w:themeColor="text1"/>
          <w:sz w:val="24"/>
          <w:szCs w:val="24"/>
          <w:shd w:val="clear" w:color="auto" w:fill="FFFFFF"/>
        </w:rPr>
        <w:t>BMJ clinical evidence</w:t>
      </w:r>
      <w:r w:rsidRPr="00817D9A">
        <w:rPr>
          <w:rFonts w:ascii="Times New Roman" w:hAnsi="Times New Roman" w:cs="Times New Roman"/>
          <w:color w:val="000000" w:themeColor="text1"/>
          <w:sz w:val="24"/>
          <w:szCs w:val="24"/>
          <w:shd w:val="clear" w:color="auto" w:fill="FFFFFF"/>
        </w:rPr>
        <w:t>, </w:t>
      </w:r>
      <w:r w:rsidRPr="00817D9A">
        <w:rPr>
          <w:rFonts w:ascii="Times New Roman" w:hAnsi="Times New Roman" w:cs="Times New Roman"/>
          <w:i/>
          <w:iCs/>
          <w:color w:val="000000" w:themeColor="text1"/>
          <w:sz w:val="24"/>
          <w:szCs w:val="24"/>
          <w:shd w:val="clear" w:color="auto" w:fill="FFFFFF"/>
        </w:rPr>
        <w:t>2019</w:t>
      </w:r>
      <w:r w:rsidRPr="00817D9A">
        <w:rPr>
          <w:rFonts w:ascii="Times New Roman" w:hAnsi="Times New Roman" w:cs="Times New Roman"/>
          <w:color w:val="000000" w:themeColor="text1"/>
          <w:sz w:val="24"/>
          <w:szCs w:val="24"/>
          <w:shd w:val="clear" w:color="auto" w:fill="FFFFFF"/>
        </w:rPr>
        <w:t>, 1712.</w:t>
      </w:r>
    </w:p>
    <w:p w:rsidR="00822BA6" w:rsidRPr="00817D9A" w:rsidRDefault="00A63C3A" w:rsidP="00822BA6">
      <w:pPr>
        <w:spacing w:after="0" w:line="480" w:lineRule="auto"/>
        <w:ind w:left="851" w:hanging="851"/>
        <w:rPr>
          <w:rFonts w:ascii="Times New Roman" w:hAnsi="Times New Roman" w:cs="Times New Roman"/>
          <w:color w:val="000000" w:themeColor="text1"/>
          <w:sz w:val="24"/>
          <w:szCs w:val="24"/>
          <w:shd w:val="clear" w:color="auto" w:fill="FFFFFF"/>
        </w:rPr>
      </w:pPr>
      <w:r w:rsidRPr="00817D9A">
        <w:rPr>
          <w:rFonts w:ascii="Times New Roman" w:hAnsi="Times New Roman" w:cs="Times New Roman"/>
          <w:color w:val="000000" w:themeColor="text1"/>
          <w:sz w:val="24"/>
          <w:szCs w:val="24"/>
          <w:shd w:val="clear" w:color="auto" w:fill="FFFFFF"/>
        </w:rPr>
        <w:t>Gnat, S., Łagowski, D., Nowakiewicz, A., &amp; Zięba, P. (2019). The host range of dermatophytes, it is at all possible? Phenotypic evaluation of the keratinolytic activity of Trichophyton verrucosum clinical isolates. </w:t>
      </w:r>
      <w:r w:rsidRPr="00817D9A">
        <w:rPr>
          <w:rFonts w:ascii="Times New Roman" w:hAnsi="Times New Roman" w:cs="Times New Roman"/>
          <w:i/>
          <w:iCs/>
          <w:color w:val="000000" w:themeColor="text1"/>
          <w:sz w:val="24"/>
          <w:szCs w:val="24"/>
          <w:shd w:val="clear" w:color="auto" w:fill="FFFFFF"/>
        </w:rPr>
        <w:t>Mycoses</w:t>
      </w:r>
      <w:r w:rsidRPr="00817D9A">
        <w:rPr>
          <w:rFonts w:ascii="Times New Roman" w:hAnsi="Times New Roman" w:cs="Times New Roman"/>
          <w:color w:val="000000" w:themeColor="text1"/>
          <w:sz w:val="24"/>
          <w:szCs w:val="24"/>
          <w:shd w:val="clear" w:color="auto" w:fill="FFFFFF"/>
        </w:rPr>
        <w:t>, </w:t>
      </w:r>
      <w:r w:rsidRPr="00817D9A">
        <w:rPr>
          <w:rFonts w:ascii="Times New Roman" w:hAnsi="Times New Roman" w:cs="Times New Roman"/>
          <w:i/>
          <w:iCs/>
          <w:color w:val="000000" w:themeColor="text1"/>
          <w:sz w:val="24"/>
          <w:szCs w:val="24"/>
          <w:shd w:val="clear" w:color="auto" w:fill="FFFFFF"/>
        </w:rPr>
        <w:t>62</w:t>
      </w:r>
      <w:r w:rsidRPr="00817D9A">
        <w:rPr>
          <w:rFonts w:ascii="Times New Roman" w:hAnsi="Times New Roman" w:cs="Times New Roman"/>
          <w:color w:val="000000" w:themeColor="text1"/>
          <w:sz w:val="24"/>
          <w:szCs w:val="24"/>
          <w:shd w:val="clear" w:color="auto" w:fill="FFFFFF"/>
        </w:rPr>
        <w:t>(3), 274-283. doi: 10.1111/myc.12876</w:t>
      </w:r>
    </w:p>
    <w:p w:rsidR="00822BA6" w:rsidRPr="00817D9A" w:rsidRDefault="00A63C3A" w:rsidP="00822BA6">
      <w:pPr>
        <w:spacing w:after="0" w:line="480" w:lineRule="auto"/>
        <w:ind w:left="851" w:hanging="851"/>
        <w:rPr>
          <w:rFonts w:ascii="Times New Roman" w:hAnsi="Times New Roman" w:cs="Times New Roman"/>
          <w:color w:val="000000" w:themeColor="text1"/>
          <w:sz w:val="24"/>
          <w:szCs w:val="24"/>
          <w:shd w:val="clear" w:color="auto" w:fill="FFFFFF"/>
        </w:rPr>
      </w:pPr>
      <w:r w:rsidRPr="00817D9A">
        <w:rPr>
          <w:rFonts w:ascii="Times New Roman" w:hAnsi="Times New Roman" w:cs="Times New Roman"/>
          <w:color w:val="000000" w:themeColor="text1"/>
          <w:sz w:val="24"/>
          <w:szCs w:val="24"/>
          <w:shd w:val="clear" w:color="auto" w:fill="FFFFFF"/>
        </w:rPr>
        <w:t xml:space="preserve">Ramalingappa, G. (2018). Optimization of Environmental Parameters for Trichophyton rubrum Growth and its Antigen Production. Retrieved from </w:t>
      </w:r>
      <w:hyperlink r:id="rId6" w:history="1">
        <w:r w:rsidRPr="00817D9A">
          <w:rPr>
            <w:rStyle w:val="Hyperlink"/>
            <w:rFonts w:ascii="Times New Roman" w:hAnsi="Times New Roman" w:cs="Times New Roman"/>
            <w:color w:val="000000" w:themeColor="text1"/>
            <w:sz w:val="24"/>
            <w:szCs w:val="24"/>
            <w:u w:val="none"/>
            <w:shd w:val="clear" w:color="auto" w:fill="FFFFFF"/>
          </w:rPr>
          <w:t>https://www.ijhsr.org/IJHSR_Vol.8_Issue.1_Jan2018/9.pdf</w:t>
        </w:r>
      </w:hyperlink>
    </w:p>
    <w:p w:rsidR="00822BA6" w:rsidRPr="00817D9A" w:rsidRDefault="00A63C3A" w:rsidP="00822BA6">
      <w:pPr>
        <w:spacing w:after="0" w:line="480" w:lineRule="auto"/>
        <w:ind w:left="851" w:hanging="851"/>
        <w:rPr>
          <w:rFonts w:ascii="Times New Roman" w:hAnsi="Times New Roman" w:cs="Times New Roman"/>
          <w:color w:val="000000" w:themeColor="text1"/>
          <w:sz w:val="24"/>
          <w:szCs w:val="24"/>
        </w:rPr>
      </w:pPr>
      <w:r w:rsidRPr="00817D9A">
        <w:rPr>
          <w:rFonts w:ascii="Times New Roman" w:hAnsi="Times New Roman" w:cs="Times New Roman"/>
          <w:color w:val="000000" w:themeColor="text1"/>
          <w:sz w:val="24"/>
          <w:szCs w:val="24"/>
          <w:shd w:val="clear" w:color="auto" w:fill="FFFFFF"/>
        </w:rPr>
        <w:t>Van Rooij, P., Declercq, J., &amp; Beguin, H. (2011). Canine dermatophytosis caused by Trichophyton rubrum: an example of man-to-dog transmission. </w:t>
      </w:r>
      <w:r w:rsidRPr="00817D9A">
        <w:rPr>
          <w:rFonts w:ascii="Times New Roman" w:hAnsi="Times New Roman" w:cs="Times New Roman"/>
          <w:i/>
          <w:iCs/>
          <w:color w:val="000000" w:themeColor="text1"/>
          <w:sz w:val="24"/>
          <w:szCs w:val="24"/>
          <w:shd w:val="clear" w:color="auto" w:fill="FFFFFF"/>
        </w:rPr>
        <w:t>Mycoses</w:t>
      </w:r>
      <w:r w:rsidRPr="00817D9A">
        <w:rPr>
          <w:rFonts w:ascii="Times New Roman" w:hAnsi="Times New Roman" w:cs="Times New Roman"/>
          <w:color w:val="000000" w:themeColor="text1"/>
          <w:sz w:val="24"/>
          <w:szCs w:val="24"/>
          <w:shd w:val="clear" w:color="auto" w:fill="FFFFFF"/>
        </w:rPr>
        <w:t>, no-no. doi: 10.1111/j.1439-0507.2011. 02071.x</w:t>
      </w:r>
    </w:p>
    <w:sectPr w:rsidR="00822BA6" w:rsidRPr="00817D9A" w:rsidSect="00817D9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02DD" w:rsidRDefault="003202DD">
      <w:pPr>
        <w:spacing w:after="0" w:line="240" w:lineRule="auto"/>
      </w:pPr>
      <w:r>
        <w:separator/>
      </w:r>
    </w:p>
  </w:endnote>
  <w:endnote w:type="continuationSeparator" w:id="1">
    <w:p w:rsidR="003202DD" w:rsidRDefault="003202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02DD" w:rsidRDefault="003202DD">
      <w:pPr>
        <w:spacing w:after="0" w:line="240" w:lineRule="auto"/>
      </w:pPr>
      <w:r>
        <w:separator/>
      </w:r>
    </w:p>
  </w:footnote>
  <w:footnote w:type="continuationSeparator" w:id="1">
    <w:p w:rsidR="003202DD" w:rsidRDefault="003202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9A" w:rsidRPr="00817D9A" w:rsidRDefault="00A63C3A" w:rsidP="00817D9A">
    <w:pPr>
      <w:pStyle w:val="Header"/>
      <w:rPr>
        <w:rFonts w:ascii="Times New Roman" w:hAnsi="Times New Roman" w:cs="Times New Roman"/>
        <w:sz w:val="24"/>
        <w:szCs w:val="24"/>
      </w:rPr>
    </w:pPr>
    <w:r w:rsidRPr="00817D9A">
      <w:rPr>
        <w:rFonts w:ascii="Times New Roman" w:hAnsi="Times New Roman" w:cs="Times New Roman"/>
        <w:sz w:val="24"/>
        <w:szCs w:val="24"/>
      </w:rPr>
      <w:t>ATHLETE’S FOOT</w:t>
    </w:r>
    <w:sdt>
      <w:sdtPr>
        <w:rPr>
          <w:rFonts w:ascii="Times New Roman" w:hAnsi="Times New Roman" w:cs="Times New Roman"/>
          <w:sz w:val="24"/>
          <w:szCs w:val="24"/>
        </w:rPr>
        <w:id w:val="-1577816941"/>
        <w:docPartObj>
          <w:docPartGallery w:val="Page Numbers (Top of Page)"/>
          <w:docPartUnique/>
        </w:docPartObj>
      </w:sdtPr>
      <w:sdtEndPr>
        <w:rPr>
          <w:noProof/>
        </w:rPr>
      </w:sdtEndPr>
      <w:sdtContent>
        <w:r w:rsidR="00D04B75">
          <w:rPr>
            <w:rFonts w:ascii="Times New Roman" w:hAnsi="Times New Roman" w:cs="Times New Roman"/>
            <w:sz w:val="24"/>
            <w:szCs w:val="24"/>
          </w:rPr>
          <w:t xml:space="preserve">                                                                                                              </w:t>
        </w:r>
        <w:r w:rsidR="001B6F94" w:rsidRPr="00817D9A">
          <w:rPr>
            <w:rFonts w:ascii="Times New Roman" w:hAnsi="Times New Roman" w:cs="Times New Roman"/>
            <w:sz w:val="24"/>
            <w:szCs w:val="24"/>
          </w:rPr>
          <w:fldChar w:fldCharType="begin"/>
        </w:r>
        <w:r w:rsidRPr="00817D9A">
          <w:rPr>
            <w:rFonts w:ascii="Times New Roman" w:hAnsi="Times New Roman" w:cs="Times New Roman"/>
            <w:sz w:val="24"/>
            <w:szCs w:val="24"/>
          </w:rPr>
          <w:instrText xml:space="preserve"> PAGE   \* MERGEFORMAT </w:instrText>
        </w:r>
        <w:r w:rsidR="001B6F94" w:rsidRPr="00817D9A">
          <w:rPr>
            <w:rFonts w:ascii="Times New Roman" w:hAnsi="Times New Roman" w:cs="Times New Roman"/>
            <w:sz w:val="24"/>
            <w:szCs w:val="24"/>
          </w:rPr>
          <w:fldChar w:fldCharType="separate"/>
        </w:r>
        <w:r w:rsidR="009C3C5A">
          <w:rPr>
            <w:rFonts w:ascii="Times New Roman" w:hAnsi="Times New Roman" w:cs="Times New Roman"/>
            <w:noProof/>
            <w:sz w:val="24"/>
            <w:szCs w:val="24"/>
          </w:rPr>
          <w:t>6</w:t>
        </w:r>
        <w:r w:rsidR="001B6F94" w:rsidRPr="00817D9A">
          <w:rPr>
            <w:rFonts w:ascii="Times New Roman" w:hAnsi="Times New Roman" w:cs="Times New Roman"/>
            <w:noProof/>
            <w:sz w:val="24"/>
            <w:szCs w:val="24"/>
          </w:rPr>
          <w:fldChar w:fldCharType="end"/>
        </w:r>
      </w:sdtContent>
    </w:sdt>
  </w:p>
  <w:p w:rsidR="00817D9A" w:rsidRDefault="00817D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9A" w:rsidRPr="00817D9A" w:rsidRDefault="00A63C3A" w:rsidP="00817D9A">
    <w:pPr>
      <w:pStyle w:val="Header"/>
      <w:rPr>
        <w:rFonts w:ascii="Times New Roman" w:hAnsi="Times New Roman" w:cs="Times New Roman"/>
        <w:sz w:val="24"/>
        <w:szCs w:val="24"/>
      </w:rPr>
    </w:pPr>
    <w:r w:rsidRPr="00817D9A">
      <w:rPr>
        <w:rFonts w:ascii="Times New Roman" w:hAnsi="Times New Roman" w:cs="Times New Roman"/>
        <w:sz w:val="24"/>
        <w:szCs w:val="24"/>
      </w:rPr>
      <w:t>Running head: ATHLETE’S FOOT</w:t>
    </w:r>
    <w:sdt>
      <w:sdtPr>
        <w:rPr>
          <w:rFonts w:ascii="Times New Roman" w:hAnsi="Times New Roman" w:cs="Times New Roman"/>
          <w:sz w:val="24"/>
          <w:szCs w:val="24"/>
        </w:rPr>
        <w:id w:val="731037046"/>
        <w:docPartObj>
          <w:docPartGallery w:val="Page Numbers (Top of Page)"/>
          <w:docPartUnique/>
        </w:docPartObj>
      </w:sdtPr>
      <w:sdtEndPr>
        <w:rPr>
          <w:noProof/>
        </w:rPr>
      </w:sdtEndPr>
      <w:sdtContent>
        <w:r w:rsidR="00D04B75">
          <w:rPr>
            <w:rFonts w:ascii="Times New Roman" w:hAnsi="Times New Roman" w:cs="Times New Roman"/>
            <w:sz w:val="24"/>
            <w:szCs w:val="24"/>
          </w:rPr>
          <w:t xml:space="preserve">                                                                                        </w:t>
        </w:r>
        <w:r w:rsidR="001B6F94" w:rsidRPr="00817D9A">
          <w:rPr>
            <w:rFonts w:ascii="Times New Roman" w:hAnsi="Times New Roman" w:cs="Times New Roman"/>
            <w:sz w:val="24"/>
            <w:szCs w:val="24"/>
          </w:rPr>
          <w:fldChar w:fldCharType="begin"/>
        </w:r>
        <w:r w:rsidRPr="00817D9A">
          <w:rPr>
            <w:rFonts w:ascii="Times New Roman" w:hAnsi="Times New Roman" w:cs="Times New Roman"/>
            <w:sz w:val="24"/>
            <w:szCs w:val="24"/>
          </w:rPr>
          <w:instrText xml:space="preserve"> PAGE   \* MERGEFORMAT </w:instrText>
        </w:r>
        <w:r w:rsidR="001B6F94" w:rsidRPr="00817D9A">
          <w:rPr>
            <w:rFonts w:ascii="Times New Roman" w:hAnsi="Times New Roman" w:cs="Times New Roman"/>
            <w:sz w:val="24"/>
            <w:szCs w:val="24"/>
          </w:rPr>
          <w:fldChar w:fldCharType="separate"/>
        </w:r>
        <w:r w:rsidR="009C3C5A">
          <w:rPr>
            <w:rFonts w:ascii="Times New Roman" w:hAnsi="Times New Roman" w:cs="Times New Roman"/>
            <w:noProof/>
            <w:sz w:val="24"/>
            <w:szCs w:val="24"/>
          </w:rPr>
          <w:t>1</w:t>
        </w:r>
        <w:r w:rsidR="001B6F94" w:rsidRPr="00817D9A">
          <w:rPr>
            <w:rFonts w:ascii="Times New Roman" w:hAnsi="Times New Roman" w:cs="Times New Roman"/>
            <w:noProof/>
            <w:sz w:val="24"/>
            <w:szCs w:val="24"/>
          </w:rPr>
          <w:fldChar w:fldCharType="end"/>
        </w:r>
      </w:sdtContent>
    </w:sdt>
  </w:p>
  <w:p w:rsidR="00817D9A" w:rsidRPr="00817D9A" w:rsidRDefault="00817D9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M0NzIwNDWytLQ0MjNR0lEKTi0uzszPAykwqgUAUcDPKywAAAA="/>
  </w:docVars>
  <w:rsids>
    <w:rsidRoot w:val="00C231BE"/>
    <w:rsid w:val="001225BF"/>
    <w:rsid w:val="00161243"/>
    <w:rsid w:val="001B5C5B"/>
    <w:rsid w:val="001B6F94"/>
    <w:rsid w:val="002744E1"/>
    <w:rsid w:val="003202DD"/>
    <w:rsid w:val="00346668"/>
    <w:rsid w:val="00383E69"/>
    <w:rsid w:val="0045035E"/>
    <w:rsid w:val="004A1ECF"/>
    <w:rsid w:val="005535C4"/>
    <w:rsid w:val="006B593E"/>
    <w:rsid w:val="006D51AA"/>
    <w:rsid w:val="007D0C6B"/>
    <w:rsid w:val="00817D9A"/>
    <w:rsid w:val="00822BA6"/>
    <w:rsid w:val="00861DD8"/>
    <w:rsid w:val="0099018B"/>
    <w:rsid w:val="009C3C5A"/>
    <w:rsid w:val="00A42994"/>
    <w:rsid w:val="00A63C3A"/>
    <w:rsid w:val="00C231BE"/>
    <w:rsid w:val="00C92624"/>
    <w:rsid w:val="00D04B75"/>
    <w:rsid w:val="00D4490A"/>
    <w:rsid w:val="00D90688"/>
    <w:rsid w:val="00E50D33"/>
    <w:rsid w:val="00E77810"/>
    <w:rsid w:val="00E979F4"/>
    <w:rsid w:val="00F619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6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1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1BE"/>
  </w:style>
  <w:style w:type="paragraph" w:styleId="Footer">
    <w:name w:val="footer"/>
    <w:basedOn w:val="Normal"/>
    <w:link w:val="FooterChar"/>
    <w:uiPriority w:val="99"/>
    <w:unhideWhenUsed/>
    <w:rsid w:val="00C231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1BE"/>
  </w:style>
  <w:style w:type="character" w:styleId="Hyperlink">
    <w:name w:val="Hyperlink"/>
    <w:basedOn w:val="DefaultParagraphFont"/>
    <w:uiPriority w:val="99"/>
    <w:unhideWhenUsed/>
    <w:rsid w:val="00D4490A"/>
    <w:rPr>
      <w:color w:val="0563C1" w:themeColor="hyperlink"/>
      <w:u w:val="single"/>
    </w:rPr>
  </w:style>
  <w:style w:type="character" w:customStyle="1" w:styleId="UnresolvedMention1">
    <w:name w:val="Unresolved Mention1"/>
    <w:basedOn w:val="DefaultParagraphFont"/>
    <w:uiPriority w:val="99"/>
    <w:semiHidden/>
    <w:unhideWhenUsed/>
    <w:rsid w:val="00D4490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jhsr.org/IJHSR_Vol.8_Issue.1_Jan2018/9.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2020-06-19T01:30:00Z</dcterms:created>
  <dcterms:modified xsi:type="dcterms:W3CDTF">2020-06-19T01:30:00Z</dcterms:modified>
</cp:coreProperties>
</file>